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43F" w:rsidRPr="004D7E2B" w:rsidRDefault="0071443F" w:rsidP="0071443F">
      <w:pPr>
        <w:pStyle w:val="NoSpacing"/>
        <w:shd w:val="clear" w:color="auto" w:fill="17365D" w:themeFill="text2" w:themeFillShade="BF"/>
        <w:jc w:val="center"/>
        <w:rPr>
          <w:b/>
          <w:sz w:val="16"/>
          <w:szCs w:val="16"/>
        </w:rPr>
      </w:pPr>
      <w:r w:rsidRPr="004D7E2B">
        <w:rPr>
          <w:b/>
          <w:sz w:val="16"/>
          <w:szCs w:val="16"/>
        </w:rPr>
        <w:t xml:space="preserve">MINISTRY OF </w:t>
      </w:r>
      <w:r>
        <w:rPr>
          <w:b/>
          <w:sz w:val="16"/>
          <w:szCs w:val="16"/>
        </w:rPr>
        <w:t xml:space="preserve">FINANCE, ECONOMIC STABILIZATION &amp; NATIONAL POLICIES  </w:t>
      </w:r>
    </w:p>
    <w:p w:rsidR="0071443F" w:rsidRPr="00AA3DDD" w:rsidRDefault="0071443F" w:rsidP="0071443F">
      <w:pPr>
        <w:pStyle w:val="NoSpacing"/>
        <w:shd w:val="clear" w:color="auto" w:fill="17365D" w:themeFill="text2" w:themeFillShade="BF"/>
        <w:jc w:val="center"/>
        <w:rPr>
          <w:b/>
          <w:sz w:val="28"/>
          <w:szCs w:val="28"/>
        </w:rPr>
      </w:pPr>
      <w:r w:rsidRPr="00AA3DDD">
        <w:rPr>
          <w:b/>
          <w:sz w:val="28"/>
          <w:szCs w:val="28"/>
        </w:rPr>
        <w:t>EMPLOYEES’ TRUST FUND BOARD</w:t>
      </w:r>
    </w:p>
    <w:tbl>
      <w:tblPr>
        <w:tblStyle w:val="TableGrid"/>
        <w:tblW w:w="0" w:type="auto"/>
        <w:tblInd w:w="108" w:type="dxa"/>
        <w:tblLook w:val="04A0" w:firstRow="1" w:lastRow="0" w:firstColumn="1" w:lastColumn="0" w:noHBand="0" w:noVBand="1"/>
      </w:tblPr>
      <w:tblGrid>
        <w:gridCol w:w="2340"/>
        <w:gridCol w:w="3420"/>
        <w:gridCol w:w="3600"/>
      </w:tblGrid>
      <w:tr w:rsidR="0071443F" w:rsidTr="003E5A90">
        <w:tc>
          <w:tcPr>
            <w:tcW w:w="9360" w:type="dxa"/>
            <w:gridSpan w:val="3"/>
          </w:tcPr>
          <w:p w:rsidR="0071443F" w:rsidRPr="009A6501" w:rsidRDefault="0071443F" w:rsidP="003E5A90">
            <w:pPr>
              <w:jc w:val="center"/>
              <w:rPr>
                <w:b/>
              </w:rPr>
            </w:pPr>
            <w:r w:rsidRPr="009A6501">
              <w:rPr>
                <w:b/>
              </w:rPr>
              <w:t>PRE-PROPOSAL CONFERENCE</w:t>
            </w:r>
          </w:p>
        </w:tc>
      </w:tr>
      <w:tr w:rsidR="0071443F" w:rsidTr="003E5A90">
        <w:tc>
          <w:tcPr>
            <w:tcW w:w="5760" w:type="dxa"/>
            <w:gridSpan w:val="2"/>
          </w:tcPr>
          <w:p w:rsidR="0071443F" w:rsidRPr="009A6501" w:rsidRDefault="0071443F" w:rsidP="003E5A90">
            <w:pPr>
              <w:rPr>
                <w:b/>
              </w:rPr>
            </w:pPr>
            <w:r w:rsidRPr="009A6501">
              <w:rPr>
                <w:b/>
              </w:rPr>
              <w:t xml:space="preserve">Request for Proposal on Design Consultancy </w:t>
            </w:r>
            <w:r>
              <w:rPr>
                <w:b/>
              </w:rPr>
              <w:t xml:space="preserve">for Service Desk </w:t>
            </w:r>
          </w:p>
        </w:tc>
        <w:tc>
          <w:tcPr>
            <w:tcW w:w="3600" w:type="dxa"/>
          </w:tcPr>
          <w:p w:rsidR="0071443F" w:rsidRPr="009A6501" w:rsidRDefault="0071443F" w:rsidP="003E5A90">
            <w:pPr>
              <w:rPr>
                <w:b/>
              </w:rPr>
            </w:pPr>
            <w:r w:rsidRPr="009A6501">
              <w:rPr>
                <w:b/>
              </w:rPr>
              <w:t>RFP No. : ETF/PROC/A/2024/028</w:t>
            </w:r>
          </w:p>
        </w:tc>
      </w:tr>
      <w:tr w:rsidR="0071443F" w:rsidTr="003E5A90">
        <w:tc>
          <w:tcPr>
            <w:tcW w:w="5760" w:type="dxa"/>
            <w:gridSpan w:val="2"/>
          </w:tcPr>
          <w:p w:rsidR="0071443F" w:rsidRDefault="0071443F" w:rsidP="003E5A90">
            <w:r>
              <w:t>Date : 09.05.2024</w:t>
            </w:r>
          </w:p>
        </w:tc>
        <w:tc>
          <w:tcPr>
            <w:tcW w:w="3600" w:type="dxa"/>
          </w:tcPr>
          <w:p w:rsidR="0071443F" w:rsidRDefault="0071443F" w:rsidP="003E5A90">
            <w:r>
              <w:t>Time : 10.30 am</w:t>
            </w:r>
          </w:p>
        </w:tc>
      </w:tr>
      <w:tr w:rsidR="0071443F" w:rsidTr="003E5A90">
        <w:tc>
          <w:tcPr>
            <w:tcW w:w="2340" w:type="dxa"/>
          </w:tcPr>
          <w:p w:rsidR="0071443F" w:rsidRDefault="0071443F" w:rsidP="003E5A90">
            <w:r>
              <w:t xml:space="preserve">Venue </w:t>
            </w:r>
          </w:p>
        </w:tc>
        <w:tc>
          <w:tcPr>
            <w:tcW w:w="7020" w:type="dxa"/>
            <w:gridSpan w:val="2"/>
          </w:tcPr>
          <w:p w:rsidR="0071443F" w:rsidRDefault="0071443F" w:rsidP="003E5A90">
            <w:r>
              <w:t>Corporate Office, 23</w:t>
            </w:r>
            <w:r w:rsidRPr="009A6501">
              <w:rPr>
                <w:vertAlign w:val="superscript"/>
              </w:rPr>
              <w:t>rd</w:t>
            </w:r>
            <w:r>
              <w:t xml:space="preserve"> Floor,  </w:t>
            </w:r>
            <w:proofErr w:type="spellStart"/>
            <w:r>
              <w:t>Mehewara</w:t>
            </w:r>
            <w:proofErr w:type="spellEnd"/>
            <w:r w:rsidR="0063561B">
              <w:t xml:space="preserve"> </w:t>
            </w:r>
            <w:proofErr w:type="spellStart"/>
            <w:r>
              <w:t>Piyesa</w:t>
            </w:r>
            <w:proofErr w:type="spellEnd"/>
            <w:r>
              <w:t xml:space="preserve">, Colombo 5 </w:t>
            </w:r>
          </w:p>
        </w:tc>
      </w:tr>
    </w:tbl>
    <w:p w:rsidR="009D0737" w:rsidRDefault="009D0737" w:rsidP="00B50B0F">
      <w:pPr>
        <w:jc w:val="both"/>
      </w:pPr>
    </w:p>
    <w:p w:rsidR="009D0737" w:rsidRDefault="009D0737" w:rsidP="00B50B0F">
      <w:pPr>
        <w:jc w:val="both"/>
      </w:pPr>
      <w:r>
        <w:t xml:space="preserve">To: Prospective Design Consultants, </w:t>
      </w:r>
    </w:p>
    <w:p w:rsidR="0071443F" w:rsidRDefault="0071443F" w:rsidP="00B50B0F">
      <w:pPr>
        <w:jc w:val="both"/>
      </w:pPr>
      <w:r>
        <w:t xml:space="preserve">The ETF Board management </w:t>
      </w:r>
      <w:r w:rsidR="00BD4DE0">
        <w:t>c</w:t>
      </w:r>
      <w:r w:rsidR="00EB1A56">
        <w:t>onsider</w:t>
      </w:r>
      <w:r w:rsidR="00BD4DE0">
        <w:t xml:space="preserve">ed the </w:t>
      </w:r>
      <w:r>
        <w:t xml:space="preserve">following 02 </w:t>
      </w:r>
      <w:r w:rsidR="00EB1A56">
        <w:t xml:space="preserve">concerns </w:t>
      </w:r>
      <w:r>
        <w:t>raised by the representatives</w:t>
      </w:r>
      <w:r w:rsidR="00EB1A56">
        <w:t xml:space="preserve"> of Design Consultants</w:t>
      </w:r>
      <w:r w:rsidR="00985022">
        <w:t xml:space="preserve"> at the Pre-Proposal Conference held at 10.30 a.m. on 09.05.2024. </w:t>
      </w:r>
      <w:r w:rsidR="00EB1A56">
        <w:t xml:space="preserve"> </w:t>
      </w:r>
      <w:r>
        <w:t xml:space="preserve"> </w:t>
      </w:r>
    </w:p>
    <w:p w:rsidR="00E37AAE" w:rsidRDefault="00EB1A56" w:rsidP="00B50B0F">
      <w:pPr>
        <w:pStyle w:val="ListParagraph"/>
        <w:numPr>
          <w:ilvl w:val="0"/>
          <w:numId w:val="1"/>
        </w:numPr>
        <w:jc w:val="both"/>
      </w:pPr>
      <w:r>
        <w:t xml:space="preserve">The potential consultants would </w:t>
      </w:r>
      <w:r w:rsidR="00E37AAE" w:rsidRPr="00535BC7">
        <w:t xml:space="preserve">be convenient </w:t>
      </w:r>
      <w:r>
        <w:t xml:space="preserve">knowing the </w:t>
      </w:r>
      <w:r w:rsidR="00E37AAE" w:rsidRPr="00535BC7">
        <w:t xml:space="preserve">budgetary allocation that has been allocated for the proposed Service Desk project.    </w:t>
      </w:r>
    </w:p>
    <w:p w:rsidR="00E37AAE" w:rsidRDefault="00E37AAE" w:rsidP="00B50B0F">
      <w:pPr>
        <w:pStyle w:val="ListParagraph"/>
        <w:jc w:val="both"/>
      </w:pPr>
    </w:p>
    <w:p w:rsidR="00AB2B28" w:rsidRDefault="00AB2B28" w:rsidP="00B50B0F">
      <w:pPr>
        <w:pStyle w:val="ListParagraph"/>
        <w:numPr>
          <w:ilvl w:val="0"/>
          <w:numId w:val="1"/>
        </w:numPr>
        <w:jc w:val="both"/>
      </w:pPr>
      <w:r w:rsidRPr="00AB2B28">
        <w:t>Clause No. 5.2 (iii) of Data Sheet (DATA 1) Key Professional Staff Qualification, the criteria that gets 40 marks is to be considered as a cost-determined point and therefore, suggested to mention the capacity of the key professionals to be deployed  (whether it should be an Architect or a Technical Officer). These key professionals should be engaged throughout the project.</w:t>
      </w:r>
    </w:p>
    <w:p w:rsidR="007A1122" w:rsidRDefault="007A1122" w:rsidP="00B50B0F">
      <w:pPr>
        <w:jc w:val="both"/>
      </w:pPr>
      <w:r w:rsidRPr="007A1122">
        <w:t xml:space="preserve">The management point of view is that the ETF Board has invited the RFP for Design Consultancy and the potential consultant shall undertake the creativity of designing based on the requirement of the ETF Board. Further, they pointed out that the </w:t>
      </w:r>
      <w:r w:rsidR="00165F72">
        <w:t xml:space="preserve">scope of the project and </w:t>
      </w:r>
      <w:r w:rsidRPr="007A1122">
        <w:t xml:space="preserve">duties &amp; responsibilities of the potential consultant are stated under Section 5 – Terms of References. Accordingly, the </w:t>
      </w:r>
      <w:r w:rsidR="00165F72">
        <w:t xml:space="preserve">prospective consultants shall </w:t>
      </w:r>
      <w:r w:rsidRPr="007A1122">
        <w:t>submit the</w:t>
      </w:r>
      <w:r w:rsidR="00165F72">
        <w:t>ir</w:t>
      </w:r>
      <w:r w:rsidRPr="007A1122">
        <w:t xml:space="preserve"> best optimal proposal</w:t>
      </w:r>
      <w:r w:rsidR="00165F72">
        <w:t>s</w:t>
      </w:r>
      <w:r w:rsidRPr="007A1122">
        <w:t xml:space="preserve"> to the ETF Board.</w:t>
      </w:r>
    </w:p>
    <w:p w:rsidR="00AB2B28" w:rsidRDefault="0065569D" w:rsidP="00B50B0F">
      <w:pPr>
        <w:jc w:val="both"/>
      </w:pPr>
      <w:r>
        <w:t xml:space="preserve">The ETF Board emphasized that </w:t>
      </w:r>
      <w:r w:rsidR="00A96613">
        <w:t xml:space="preserve">the </w:t>
      </w:r>
      <w:r w:rsidR="001D700E" w:rsidRPr="00A96613">
        <w:rPr>
          <w:b/>
        </w:rPr>
        <w:t>project cost</w:t>
      </w:r>
      <w:r w:rsidR="001D700E">
        <w:t xml:space="preserve"> for the Service Desk would be based on the substantially responsive proposal </w:t>
      </w:r>
      <w:r w:rsidR="007B3E56">
        <w:t>afterward</w:t>
      </w:r>
      <w:r w:rsidR="00A96613">
        <w:t xml:space="preserve">s following the </w:t>
      </w:r>
      <w:r w:rsidR="007B3E56">
        <w:t xml:space="preserve">proposal evaluation </w:t>
      </w:r>
      <w:r w:rsidR="00A96613">
        <w:t>process as described in</w:t>
      </w:r>
      <w:r w:rsidR="007B3E56">
        <w:t xml:space="preserve"> the RFP document. </w:t>
      </w:r>
    </w:p>
    <w:p w:rsidR="007074BD" w:rsidRDefault="007074BD" w:rsidP="00B50B0F">
      <w:pPr>
        <w:jc w:val="both"/>
      </w:pPr>
      <w:r w:rsidRPr="007074BD">
        <w:t>In such circumstances, the ETF Board emphasizes that it is the responsibility of the potential consultant to perform the contract until it is satisfied by the ETF Board. Therefore, the consultant shall determine the qualifications of the key professionals who may expect to deploy in the service.</w:t>
      </w:r>
    </w:p>
    <w:p w:rsidR="00B50B0F" w:rsidRDefault="00B50B0F" w:rsidP="00B50B0F">
      <w:pPr>
        <w:jc w:val="both"/>
      </w:pPr>
      <w:r w:rsidRPr="00B50B0F">
        <w:t>So then, we would like to let the potential consultants know that the RFP document which has already been published in the ETF Board would remain unchanged and the same document shall be treated as the valid RFP document.</w:t>
      </w:r>
    </w:p>
    <w:p w:rsidR="00B50B0F" w:rsidRDefault="00B50B0F" w:rsidP="00B50B0F">
      <w:pPr>
        <w:jc w:val="both"/>
      </w:pPr>
    </w:p>
    <w:p w:rsidR="00C03AFF" w:rsidRDefault="00C03AFF" w:rsidP="00B50B0F">
      <w:pPr>
        <w:jc w:val="both"/>
      </w:pPr>
      <w:r>
        <w:t xml:space="preserve">Thank you, </w:t>
      </w:r>
    </w:p>
    <w:p w:rsidR="00C03AFF" w:rsidRDefault="00C03AFF" w:rsidP="00B50B0F">
      <w:pPr>
        <w:jc w:val="both"/>
      </w:pPr>
    </w:p>
    <w:p w:rsidR="00B50B0F" w:rsidRPr="00B50B0F" w:rsidRDefault="00B50B0F" w:rsidP="00B50B0F">
      <w:pPr>
        <w:pStyle w:val="NoSpacing"/>
        <w:spacing w:line="276" w:lineRule="auto"/>
        <w:rPr>
          <w:b/>
          <w:bCs/>
        </w:rPr>
      </w:pPr>
      <w:r w:rsidRPr="00B50B0F">
        <w:rPr>
          <w:b/>
          <w:bCs/>
        </w:rPr>
        <w:t xml:space="preserve">T.M.I. </w:t>
      </w:r>
      <w:proofErr w:type="spellStart"/>
      <w:r w:rsidRPr="00B50B0F">
        <w:rPr>
          <w:b/>
          <w:bCs/>
        </w:rPr>
        <w:t>Amidon</w:t>
      </w:r>
      <w:bookmarkStart w:id="0" w:name="_GoBack"/>
      <w:bookmarkEnd w:id="0"/>
      <w:proofErr w:type="spellEnd"/>
    </w:p>
    <w:p w:rsidR="00B50B0F" w:rsidRPr="00B50B0F" w:rsidRDefault="00B50B0F" w:rsidP="00B50B0F">
      <w:pPr>
        <w:pStyle w:val="NoSpacing"/>
        <w:spacing w:line="276" w:lineRule="auto"/>
        <w:rPr>
          <w:b/>
          <w:bCs/>
        </w:rPr>
      </w:pPr>
      <w:r w:rsidRPr="00B50B0F">
        <w:rPr>
          <w:b/>
          <w:bCs/>
        </w:rPr>
        <w:t xml:space="preserve">Manager (Procurement) </w:t>
      </w:r>
    </w:p>
    <w:sectPr w:rsidR="00B50B0F" w:rsidRPr="00B50B0F" w:rsidSect="0071443F">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5238A"/>
    <w:multiLevelType w:val="hybridMultilevel"/>
    <w:tmpl w:val="9042E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37AAE"/>
    <w:rsid w:val="000207A7"/>
    <w:rsid w:val="000602A6"/>
    <w:rsid w:val="00165F72"/>
    <w:rsid w:val="0016609D"/>
    <w:rsid w:val="001A0CBF"/>
    <w:rsid w:val="001D700E"/>
    <w:rsid w:val="00275B16"/>
    <w:rsid w:val="002B281F"/>
    <w:rsid w:val="00405A79"/>
    <w:rsid w:val="004300B1"/>
    <w:rsid w:val="004411A4"/>
    <w:rsid w:val="00455AEB"/>
    <w:rsid w:val="004D1A65"/>
    <w:rsid w:val="004E2A5F"/>
    <w:rsid w:val="00514788"/>
    <w:rsid w:val="00530D5D"/>
    <w:rsid w:val="0063561B"/>
    <w:rsid w:val="0065569D"/>
    <w:rsid w:val="006C3C8E"/>
    <w:rsid w:val="007074BD"/>
    <w:rsid w:val="0071443F"/>
    <w:rsid w:val="007A1122"/>
    <w:rsid w:val="007B3E56"/>
    <w:rsid w:val="007C0B8D"/>
    <w:rsid w:val="007E0C92"/>
    <w:rsid w:val="00811313"/>
    <w:rsid w:val="00877106"/>
    <w:rsid w:val="00985022"/>
    <w:rsid w:val="009C1200"/>
    <w:rsid w:val="009D0737"/>
    <w:rsid w:val="00A96613"/>
    <w:rsid w:val="00AB2B28"/>
    <w:rsid w:val="00AD5E8E"/>
    <w:rsid w:val="00AF31A0"/>
    <w:rsid w:val="00B13ADF"/>
    <w:rsid w:val="00B50B0F"/>
    <w:rsid w:val="00B560B7"/>
    <w:rsid w:val="00BC56E8"/>
    <w:rsid w:val="00BD4DE0"/>
    <w:rsid w:val="00BD7EEA"/>
    <w:rsid w:val="00C03AFF"/>
    <w:rsid w:val="00C37649"/>
    <w:rsid w:val="00C6319D"/>
    <w:rsid w:val="00E067E8"/>
    <w:rsid w:val="00E37AAE"/>
    <w:rsid w:val="00E947E7"/>
    <w:rsid w:val="00EB1A56"/>
    <w:rsid w:val="00F42619"/>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AAE"/>
    <w:pPr>
      <w:ind w:left="720"/>
      <w:contextualSpacing/>
    </w:pPr>
    <w:rPr>
      <w:kern w:val="0"/>
      <w:lang w:bidi="ar-SA"/>
    </w:rPr>
  </w:style>
  <w:style w:type="paragraph" w:styleId="NoSpacing">
    <w:name w:val="No Spacing"/>
    <w:uiPriority w:val="1"/>
    <w:qFormat/>
    <w:rsid w:val="0071443F"/>
    <w:pPr>
      <w:spacing w:after="0" w:line="240" w:lineRule="auto"/>
    </w:pPr>
    <w:rPr>
      <w:kern w:val="0"/>
      <w:lang w:bidi="si-LK"/>
    </w:rPr>
  </w:style>
  <w:style w:type="table" w:styleId="TableGrid">
    <w:name w:val="Table Grid"/>
    <w:basedOn w:val="TableNormal"/>
    <w:uiPriority w:val="59"/>
    <w:rsid w:val="0071443F"/>
    <w:pPr>
      <w:spacing w:after="0" w:line="240" w:lineRule="auto"/>
    </w:pPr>
    <w:rPr>
      <w:kern w:val="0"/>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mgrproc</dc:creator>
  <cp:keywords/>
  <dc:description/>
  <cp:lastModifiedBy>Windows User</cp:lastModifiedBy>
  <cp:revision>8</cp:revision>
  <cp:lastPrinted>2024-05-13T04:20:00Z</cp:lastPrinted>
  <dcterms:created xsi:type="dcterms:W3CDTF">2024-05-10T03:24:00Z</dcterms:created>
  <dcterms:modified xsi:type="dcterms:W3CDTF">2024-05-13T07:30:00Z</dcterms:modified>
</cp:coreProperties>
</file>